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09.png" ContentType="image/png"/>
  <Override PartName="/word/media/rId108.png" ContentType="image/png"/>
  <Override PartName="/word/media/rId105.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31</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n.d.)</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determine responses to restoration actions</w:t>
      </w:r>
      <w:r>
        <w:t xml:space="preserve"> </w:t>
      </w:r>
      <w:r>
        <w:t xml:space="preserve">(Zimmerman et al. n.d.)</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w:t>
      </w:r>
    </w:p>
    <w:p>
      <w:pPr>
        <w:numPr>
          <w:ilvl w:val="0"/>
          <w:numId w:val="1001"/>
        </w:numPr>
        <w:pStyle w:val="Compact"/>
      </w:pPr>
      <w:r>
        <w:t xml:space="preserve">Estimate the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impacts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juvenile DSR and NRR emigrations. During our initial survey in 2019, Northern Pikeminnow were by far the most prevalent piscine predator in Deadwater Slough and consequently became our focal taxa. Northern Pikeminnow were surveyed near the peaks of the fall DSR and spring NRR emigrations.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Fall surveys occurred over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w:t>
      </w:r>
      <w:r>
        <w:t xml:space="preserve"> </w:t>
      </w:r>
      <w:r>
        <w:t xml:space="preserve">After evaluating all methods, angling was the most effective method for capturing Northern Pikeminnow while also minimizing potential impacts to ESA-listed adult steelhead that were present in the Salmon River during our surveys.</w:t>
      </w:r>
      <w:r>
        <w:t xml:space="preserve"> </w:t>
      </w:r>
      <w:r>
        <w:t xml:space="preserve">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number of Northern Pikeminnow caught per angler hour.</w:t>
      </w:r>
    </w:p>
    <w:p>
      <w:pPr>
        <w:pStyle w:val="BodyText"/>
      </w:pPr>
      <w:r>
        <w:t xml:space="preserve">Two types of mark-recapture estimators were used to explore variation in abundance estimates: a single census and a multiple census estimator. Estimators fell into two broad categories: single census and multiple census. For the single census estimator, we treated the first week of the survey as the mark event and the following week as the recapture event, pooling data within each event week. Alternatively, the multiple census estimator treated each day as an event and use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a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locales, marked fish may have been less susceptible to capture. To account for this potential bias, we adjusted the Schnabel estimator with an assumption that marked and released fish during each survey day were not available for recapture for 48 hours.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average abundance from the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n.d.)</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 or were categorized as unknown</w:t>
      </w:r>
      <w:r>
        <w:t xml:space="preserve"> </w:t>
      </w:r>
      <w:r>
        <w:t xml:space="preserve">(Hansel et al. 1988; Frost 2000)</w:t>
      </w:r>
      <w:r>
        <w:t xml:space="preserve">.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were were unable to differentiate juvenile Chinook Salmon from other fish prey, we assume all fish prey have the same energy densities as juvenile Chinook Salmon. The average length of Northern Pikeminnow caught in Deadwater Slough during our study was converted to weight using a weight-length formula from</w:t>
      </w:r>
      <w:r>
        <w:t xml:space="preserve"> </w:t>
      </w:r>
      <w:r>
        <w:t xml:space="preserve">Parker et al. (n.d.)</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spring and fall starting eights of 504.4 and 670.5 g for Northern Pikeminnow with average lengths of 352.9 and 393.7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Washingto (n.d.)</w:t>
      </w:r>
      <w:r>
        <w:t xml:space="preserve">) that suggest fish are the majority of Northern Pikeminnow prey. 14 models were run (7 diet scenarios and 2 seasons), each providing an estimate of the total grams of fish consumed by an individual Northern Pikeminnow (</w:t>
      </w:r>
      <w:r>
        <w:rPr>
          <w:iCs/>
          <w:i/>
          <w:bCs/>
          <w:b/>
        </w:rPr>
        <w:t xml:space="preserve">table reference</w:t>
      </w:r>
      <w:r>
        <w:t xml:space="preserve">). To estimate the total biomass of fish consumed by Northern Pikeminnow in Deadwater Slough, we multiplied the grams of fish consumed by an individual Northern Pikeminnow by the estimated Northern Pikeminnow population size during fall and spring.</w:t>
      </w:r>
    </w:p>
    <w:bookmarkEnd w:id="26"/>
    <w:bookmarkStart w:id="27" w:name="Xf48bb33d804bfd6581f05998a0ecb11776ed336"/>
    <w:p>
      <w:pPr>
        <w:pStyle w:val="Heading2"/>
      </w:pPr>
      <w:r>
        <w:t xml:space="preserve">Potential 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Columbia River reservoirs, and in the lower Snake River, respectively</w:t>
      </w:r>
      <w:r>
        <w:t xml:space="preserve"> </w:t>
      </w:r>
      <w:r>
        <w:t xml:space="preserve">(Zimmerman and Ward 1999)</w:t>
      </w:r>
      <w:r>
        <w:t xml:space="preserve">. Because the bioenergetics model does not differentiate juvenile Chinook Salmn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t>
      </w:r>
      <w:r>
        <w:t xml:space="preserve">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w:t>
      </w:r>
    </w:p>
    <w:p>
      <w:pPr>
        <w:pStyle w:val="BodyText"/>
      </w:pPr>
      <w:r>
        <w:t xml:space="preserve">Although the primary impact to Chinook Salmon in Deadwater Slough by Northern Pikeminnow is juvenile predation, the common metric to evaluate salmon recovery is often adult returns. We assessed the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(Figure</w:t>
      </w:r>
      <w:r>
        <w:t xml:space="preserve"> </w:t>
      </w:r>
      <w:r>
        <w:t xml:space="preserve">??</w:t>
      </w:r>
      <w:r>
        <w:t xml:space="preserve">).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12,480 to 18,732 and for fall 2020 ranged from 24,381 to 37,016 (Table</w:t>
      </w:r>
      <w:r>
        <w:t xml:space="preserve"> </w:t>
      </w:r>
      <w:r>
        <w:t xml:space="preserve">3</w:t>
      </w:r>
      <w:r>
        <w:t xml:space="preserve">).For both estimates, the multiple census estimates were larger than the single census estimates and small numbers of recaptures resulted in wide confidence intervals (</w:t>
      </w:r>
      <w:r>
        <w:rPr>
          <w:iCs/>
          <w:i/>
          <w:bCs/>
          <w:b/>
        </w:rPr>
        <w:t xml:space="preserve">figure reference</w:t>
      </w:r>
      <w:r>
        <w:t xml:space="preserve">). Because our sampling design most closely matched a multiple census estimator and required a small sample size modification, the Schnabel estimator was determined to provide the best estimates of abundance. Accordingly, the mean Northern Pikeminnow abundance for the two fall sampling events was 27,874 (95% CI: 14,244 - 59,388).</w:t>
      </w:r>
      <w:r>
        <w:t xml:space="preserve"> </w:t>
      </w:r>
      <w:r>
        <w:t xml:space="preserve">For spring 2021, we estimated abundance by multiplying the mean fall abundance by the ratio between the spring CPUE and mean of the fall CPUEs (0.53), resulting in an estimate of 14,799 (95% CI: 7,562 - 31,530) Northern Pikeminnow in Deadwater Slough. Those estimates translate to linear densities of</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Northern Pikeminnow per RKM.</w:t>
      </w:r>
    </w:p>
    <w:p>
      <w:pPr>
        <w:pStyle w:val="BodyText"/>
      </w:pPr>
      <w:r>
        <w:t xml:space="preserve">The lengths of Northern Pikeminnow captured ranged from</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mm with an average length of</w:t>
      </w:r>
      <w:r>
        <w:t xml:space="preserve"> </w:t>
      </w:r>
      <w:r>
        <w:rPr>
          <w:iCs/>
          <w:i/>
          <w:bCs/>
          <w:b/>
        </w:rPr>
        <w:t xml:space="preserve">value</w:t>
      </w:r>
      <w:r>
        <w:t xml:space="preserve"> </w:t>
      </w:r>
      <w:r>
        <w:t xml:space="preserve">mm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4</w:t>
      </w:r>
      <w:r>
        <w:t xml:space="preserve">). The average wet weight of total contents for an individual was 0.98 g (median = 0.25 g; range = 0.01-17.39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estimated an average-size Northern Pikeminnow (</w:t>
      </w:r>
      <w:r>
        <w:rPr>
          <w:iCs/>
          <w:i/>
          <w:bCs/>
          <w:b/>
        </w:rPr>
        <w:t xml:space="preserve">value</w:t>
      </w:r>
      <w:r>
        <w:t xml:space="preserve"> </w:t>
      </w:r>
      <w:r>
        <w:t xml:space="preserve">mm) to consume</w:t>
      </w:r>
      <w:r>
        <w:t xml:space="preserve"> </w:t>
      </w:r>
      <w:r>
        <w:rPr>
          <w:iCs/>
          <w:i/>
          <w:bCs/>
          <w:b/>
        </w:rPr>
        <w:t xml:space="preserve">value</w:t>
      </w:r>
      <w:r>
        <w:t xml:space="preserve"> </w:t>
      </w:r>
      <w:r>
        <w:t xml:space="preserve">g of fish to maintain their body size, assuming 60% of their diet consists of fish prey (Figure</w:t>
      </w:r>
      <w:r>
        <w:t xml:space="preserve"> </w:t>
      </w:r>
      <w:r>
        <w:t xml:space="preserve">4</w:t>
      </w:r>
      <w:r>
        <w:t xml:space="preserve">). Fall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During the spring NRR emigration, we estimated an average-size Northern Pikeminnow (</w:t>
      </w:r>
      <w:r>
        <w:rPr>
          <w:iCs/>
          <w:i/>
          <w:bCs/>
          <w:b/>
        </w:rPr>
        <w:t xml:space="preserve">value</w:t>
      </w:r>
      <w:r>
        <w:t xml:space="preserve">) to consume</w:t>
      </w:r>
      <w:r>
        <w:t xml:space="preserve"> </w:t>
      </w:r>
      <w:r>
        <w:rPr>
          <w:iCs/>
          <w:i/>
          <w:bCs/>
          <w:b/>
        </w:rPr>
        <w:t xml:space="preserve">value</w:t>
      </w:r>
      <w:r>
        <w:t xml:space="preserve"> </w:t>
      </w:r>
      <w:r>
        <w:t xml:space="preserve">44.29 g of fish, assuming 60% of their diet is fish prey (Figure</w:t>
      </w:r>
      <w:r>
        <w:t xml:space="preserve"> </w:t>
      </w:r>
      <w:r>
        <w:t xml:space="preserve">4</w:t>
      </w:r>
      <w:r>
        <w:t xml:space="preserve">). Spring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Given estimated mean Northern Pikeminnow population sizes of</w:t>
      </w:r>
      <w:r>
        <w:t xml:space="preserve"> </w:t>
      </w:r>
      <w:r>
        <w:rPr>
          <w:iCs/>
          <w:i/>
          <w:bCs/>
          <w:b/>
        </w:rPr>
        <w:t xml:space="preserve">value</w:t>
      </w:r>
      <w:r>
        <w:t xml:space="preserve"> </w:t>
      </w:r>
      <w:r>
        <w:t xml:space="preserve">from fall estimates and</w:t>
      </w:r>
      <w:r>
        <w:t xml:space="preserve"> </w:t>
      </w:r>
      <w:r>
        <w:rPr>
          <w:iCs/>
          <w:i/>
          <w:bCs/>
          <w:b/>
        </w:rPr>
        <w:t xml:space="preserve">value</w:t>
      </w:r>
      <w:r>
        <w:t xml:space="preserve"> </w:t>
      </w:r>
      <w:r>
        <w:t xml:space="preserve">for spring 2021, and assuming 60% of their diet is fish, we estimate that Northern Pikeminnow can consume</w:t>
      </w:r>
      <w:r>
        <w:t xml:space="preserve"> </w:t>
      </w:r>
      <w:r>
        <w:rPr>
          <w:iCs/>
          <w:i/>
          <w:bCs/>
          <w:b/>
        </w:rPr>
        <w:t xml:space="preserve">value</w:t>
      </w:r>
      <w:r>
        <w:t xml:space="preserve"> </w:t>
      </w:r>
      <w:r>
        <w:t xml:space="preserve">metric tons of fish during the fall DSR emigration and an additional</w:t>
      </w:r>
      <w:r>
        <w:t xml:space="preserve"> </w:t>
      </w:r>
      <w:r>
        <w:rPr>
          <w:iCs/>
          <w:i/>
          <w:bCs/>
          <w:b/>
        </w:rPr>
        <w:t xml:space="preserve">value</w:t>
      </w:r>
      <w:r>
        <w:t xml:space="preserve"> </w:t>
      </w:r>
      <w:r>
        <w:t xml:space="preserve">metric tons during the spring NRR emigration in Deadwater Slough. In total, the Northern Pikeminnow population can consume</w:t>
      </w:r>
      <w:r>
        <w:t xml:space="preserve"> </w:t>
      </w:r>
      <w:r>
        <w:rPr>
          <w:iCs/>
          <w:i/>
          <w:bCs/>
          <w:b/>
        </w:rPr>
        <w:t xml:space="preserve">value</w:t>
      </w:r>
      <w:r>
        <w:t xml:space="preserve"> </w:t>
      </w:r>
      <w:r>
        <w:t xml:space="preserve">metric tons of fish during the DSR and NRR emigrations to maintain their population size, assuming 60% of their diet consists of fish.</w:t>
      </w:r>
    </w:p>
    <w:bookmarkEnd w:id="31"/>
    <w:bookmarkStart w:id="32" w:name="X04b4ebf29d646c95e920fe225a058217179fb09"/>
    <w:p>
      <w:pPr>
        <w:pStyle w:val="Heading2"/>
      </w:pPr>
      <w:r>
        <w:t xml:space="preserve">Potential Impacts to Chinook Salmon Populations</w:t>
      </w:r>
    </w:p>
    <w:p>
      <w:pPr>
        <w:pStyle w:val="FirstParagraph"/>
      </w:pPr>
      <w:r>
        <w:t xml:space="preserve">Using the total g of fish consumed by the Northern Pikeminnow population (summing fall and spring surveys) we produced a sensitivity analysis for three Northern Pikeminnow diet scenarios where juvenile Chinook Salmn make up 30%, 50%, and 65% of total fish prey consumed (Figure</w:t>
      </w:r>
      <w:r>
        <w:t xml:space="preserve"> </w:t>
      </w:r>
      <w:r>
        <w:rPr>
          <w:iCs/>
          <w:i/>
          <w:bCs/>
          <w:b/>
        </w:rPr>
        <w:t xml:space="preserve">reference</w:t>
      </w:r>
      <w:r>
        <w:t xml:space="preserve">). Assuming that 50% of the total fish consumed are juvenile Chinook Salmon, we estimate between (30% fish scenario with CIs) and (90% fish scenario with CIs) juvenile Chinook Salmon will be consumed. We then used our estimates of total juvenile Chinook Salmon consumed to estimate</w:t>
      </w:r>
      <w:r>
        <w:t xml:space="preserve"> </w:t>
      </w:r>
      <w:r>
        <w:t xml:space="preserve">“</w:t>
      </w:r>
      <w:r>
        <w:t xml:space="preserve">adult equivalents</w:t>
      </w:r>
      <w:r>
        <w:t xml:space="preserve">”</w:t>
      </w:r>
      <w:r>
        <w:t xml:space="preserve"> </w:t>
      </w:r>
      <w:r>
        <w:t xml:space="preserve">using the Granite-to-Granite smolt-to-adult survival rate of</w:t>
      </w:r>
      <w:r>
        <w:t xml:space="preserve"> </w:t>
      </w:r>
      <w:r>
        <w:rPr>
          <w:iCs/>
          <w:i/>
          <w:bCs/>
          <w:b/>
        </w:rPr>
        <w:t xml:space="preserve">value</w:t>
      </w:r>
      <w:r>
        <w:t xml:space="preserve"> </w:t>
      </w:r>
      <w:r>
        <w:t xml:space="preserve">(SE:</w:t>
      </w:r>
      <w:r>
        <w:t xml:space="preserve"> </w:t>
      </w:r>
      <w:r>
        <w:rPr>
          <w:iCs/>
          <w:i/>
          <w:bCs/>
          <w:b/>
        </w:rPr>
        <w:t xml:space="preserve">value</w:t>
      </w:r>
      <w:r>
        <w:t xml:space="preserve">; Table</w:t>
      </w:r>
      <w:r>
        <w:t xml:space="preserve"> </w:t>
      </w:r>
      <w:r>
        <w:rPr>
          <w:iCs/>
          <w:i/>
          <w:bCs/>
          <w:b/>
        </w:rPr>
        <w:t xml:space="preserve">reference</w:t>
      </w:r>
      <w:r>
        <w:t xml:space="preserve">). Assuming predation in Deadwater Slough was reduced or eliminated, the juvenile consumption would be equivalent to</w:t>
      </w:r>
      <w:r>
        <w:t xml:space="preserve"> </w:t>
      </w:r>
      <w:r>
        <w:rPr>
          <w:iCs/>
          <w:i/>
          <w:bCs/>
          <w:b/>
        </w:rPr>
        <w:t xml:space="preserve">value</w:t>
      </w:r>
      <w:r>
        <w:t xml:space="preserve"> </w:t>
      </w:r>
      <w:r>
        <w:t xml:space="preserve">adults in the spring (range</w:t>
      </w:r>
      <w:r>
        <w:t xml:space="preserve"> </w:t>
      </w:r>
      <w:r>
        <w:rPr>
          <w:iCs/>
          <w:i/>
          <w:bCs/>
          <w:b/>
        </w:rPr>
        <w:t xml:space="preserve">value</w:t>
      </w:r>
      <w:r>
        <w:t xml:space="preserve"> </w:t>
      </w:r>
      <w:r>
        <w:t xml:space="preserve">-</w:t>
      </w:r>
      <w:r>
        <w:t xml:space="preserve"> </w:t>
      </w:r>
      <w:r>
        <w:rPr>
          <w:iCs/>
          <w:i/>
          <w:bCs/>
          <w:b/>
        </w:rPr>
        <w:t xml:space="preserve">value</w:t>
      </w:r>
      <w:r>
        <w:t xml:space="preserve">) and</w:t>
      </w:r>
      <w:r>
        <w:t xml:space="preserve"> </w:t>
      </w:r>
      <w:r>
        <w:rPr>
          <w:iCs/>
          <w:i/>
          <w:bCs/>
          <w:b/>
        </w:rPr>
        <w:t xml:space="preserve">value</w:t>
      </w:r>
      <w:r>
        <w:t xml:space="preserve"> </w:t>
      </w:r>
      <w:r>
        <w:t xml:space="preserve">adults (range</w:t>
      </w:r>
      <w:r>
        <w:t xml:space="preserve"> </w:t>
      </w:r>
      <w:r>
        <w:rPr>
          <w:iCs/>
          <w:i/>
          <w:bCs/>
          <w:b/>
        </w:rPr>
        <w:t xml:space="preserve">value</w:t>
      </w:r>
      <w:r>
        <w:t xml:space="preserve"> </w:t>
      </w:r>
      <w:r>
        <w:t xml:space="preserve">-</w:t>
      </w:r>
      <w:r>
        <w:t xml:space="preserve"> </w:t>
      </w:r>
      <w:r>
        <w:rPr>
          <w:iCs/>
          <w:i/>
          <w:bCs/>
          <w:b/>
        </w:rPr>
        <w:t xml:space="preserve">value</w:t>
      </w:r>
      <w:r>
        <w:t xml:space="preserve">) in the fall, totaling</w:t>
      </w:r>
      <w:r>
        <w:t xml:space="preserve"> </w:t>
      </w:r>
      <w:r>
        <w:rPr>
          <w:iCs/>
          <w:i/>
          <w:bCs/>
          <w:b/>
        </w:rPr>
        <w:t xml:space="preserve">value</w:t>
      </w:r>
      <w:r>
        <w:t xml:space="preserve"> </w:t>
      </w:r>
      <w:r>
        <w:t xml:space="preserve">adult Chinook Salmon.</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Washingto (n.d.)</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n.d.)</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(n.d.)</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2"/>
    <w:bookmarkStart w:id="63"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3"/>
    <w:bookmarkStart w:id="64" w:name="ref-Hartleb1995"/>
    <w:p>
      <w:pPr>
        <w:pStyle w:val="Bibliography"/>
      </w:pPr>
      <w:r>
        <w:t xml:space="preserve">Hartleb, C. F., and J. R. Moring. 1995. An improved gastric lavage device for removing stomach contents from live fish. Fisheries Research 24(3):261–265.</w:t>
      </w:r>
    </w:p>
    <w:bookmarkEnd w:id="64"/>
    <w:bookmarkStart w:id="65"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5"/>
    <w:bookmarkStart w:id="66"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6"/>
    <w:bookmarkStart w:id="67"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7"/>
    <w:bookmarkStart w:id="68"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8"/>
    <w:bookmarkStart w:id="69" w:name="ref-Kamler2001"/>
    <w:p>
      <w:pPr>
        <w:pStyle w:val="Bibliography"/>
      </w:pPr>
      <w:r>
        <w:t xml:space="preserve">Kamler, J. F., and K. L. Pope. 2001. Nonlethal methods of examining fish stomach contents. Reviews in Fisheries Science 9(1):1–11.</w:t>
      </w:r>
    </w:p>
    <w:bookmarkEnd w:id="69"/>
    <w:bookmarkStart w:id="70"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0"/>
    <w:bookmarkStart w:id="71"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1"/>
    <w:bookmarkStart w:id="72"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2"/>
    <w:bookmarkStart w:id="73" w:name="ref-Lewis2019"/>
    <w:p>
      <w:pPr>
        <w:pStyle w:val="Bibliography"/>
      </w:pPr>
      <w:r>
        <w:t xml:space="preserve">Lewis, D. J., S. J. Dundas, D. M. Kling, D. K. Lew, and S. D. Hacker. 2019. The non-market benefits of early and partial gains in managing threatened salmon. PLOS ONE 14(8):e0220260.</w:t>
      </w:r>
    </w:p>
    <w:bookmarkEnd w:id="73"/>
    <w:bookmarkStart w:id="74"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4"/>
    <w:bookmarkStart w:id="75"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5"/>
    <w:bookmarkStart w:id="76"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6"/>
    <w:bookmarkStart w:id="77"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7"/>
    <w:bookmarkStart w:id="78"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8"/>
    <w:bookmarkStart w:id="79"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79"/>
    <w:bookmarkStart w:id="80" w:name="ref-Parker1995"/>
    <w:p>
      <w:pPr>
        <w:pStyle w:val="Bibliography"/>
      </w:pPr>
      <w:r>
        <w:t xml:space="preserve">Parker, R. M., M. P. Zimmerman, and D. L. Ward. (n.d.).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0"/>
    <w:bookmarkStart w:id="81"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1"/>
    <w:bookmarkStart w:id="82"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2"/>
    <w:bookmarkStart w:id="83"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3"/>
    <w:bookmarkStart w:id="84"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4"/>
    <w:bookmarkStart w:id="85"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5"/>
    <w:bookmarkStart w:id="86"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6"/>
    <w:bookmarkStart w:id="87"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7"/>
    <w:bookmarkStart w:id="88"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8"/>
    <w:bookmarkStart w:id="89"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89"/>
    <w:bookmarkStart w:id="90"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0"/>
    <w:bookmarkStart w:id="91"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1"/>
    <w:bookmarkStart w:id="92" w:name="ref-Gray2001"/>
    <w:p>
      <w:pPr>
        <w:pStyle w:val="Bibliography"/>
      </w:pPr>
      <w:r>
        <w:t xml:space="preserve">Washingto, T. R. (n.d.).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:15.</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(n.d.).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(n.d.).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br/>
      </w: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27,662.4858</w:t>
            </w:r>
          </w:p>
        </w:tc>
        <w:tc>
          <w:tcPr/>
          <w:p>
            <w:pPr>
              <w:pStyle w:val="Compact"/>
              <w:jc w:val="right"/>
            </w:pPr>
            <w:r>
              <w:t xml:space="preserve">14,135.41711</w:t>
            </w:r>
          </w:p>
        </w:tc>
        <w:tc>
          <w:tcPr/>
          <w:p>
            <w:pPr>
              <w:pStyle w:val="Compact"/>
              <w:jc w:val="right"/>
            </w:pPr>
            <w:r>
              <w:t xml:space="preserve">58,936.8543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46,104.1430</w:t>
            </w:r>
          </w:p>
        </w:tc>
        <w:tc>
          <w:tcPr/>
          <w:p>
            <w:pPr>
              <w:pStyle w:val="Compact"/>
              <w:jc w:val="right"/>
            </w:pPr>
            <w:r>
              <w:t xml:space="preserve">23,559.02852</w:t>
            </w:r>
          </w:p>
        </w:tc>
        <w:tc>
          <w:tcPr/>
          <w:p>
            <w:pPr>
              <w:pStyle w:val="Compact"/>
              <w:jc w:val="right"/>
            </w:pPr>
            <w:r>
              <w:t xml:space="preserve">98,228.0904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59,935.3859</w:t>
            </w:r>
          </w:p>
        </w:tc>
        <w:tc>
          <w:tcPr/>
          <w:p>
            <w:pPr>
              <w:pStyle w:val="Compact"/>
              <w:jc w:val="right"/>
            </w:pPr>
            <w:r>
              <w:t xml:space="preserve">30,626.73707</w:t>
            </w:r>
          </w:p>
        </w:tc>
        <w:tc>
          <w:tcPr/>
          <w:p>
            <w:pPr>
              <w:pStyle w:val="Compact"/>
              <w:jc w:val="right"/>
            </w:pPr>
            <w:r>
              <w:t xml:space="preserve">127,696.5176</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40,130.2435</w:t>
            </w:r>
          </w:p>
        </w:tc>
        <w:tc>
          <w:tcPr/>
          <w:p>
            <w:pPr>
              <w:pStyle w:val="Compact"/>
              <w:jc w:val="right"/>
            </w:pPr>
            <w:r>
              <w:t xml:space="preserve">20,506.39028</w:t>
            </w:r>
          </w:p>
        </w:tc>
        <w:tc>
          <w:tcPr/>
          <w:p>
            <w:pPr>
              <w:pStyle w:val="Compact"/>
              <w:jc w:val="right"/>
            </w:pPr>
            <w:r>
              <w:t xml:space="preserve">85,500.2810</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66,883.7391</w:t>
            </w:r>
          </w:p>
        </w:tc>
        <w:tc>
          <w:tcPr/>
          <w:p>
            <w:pPr>
              <w:pStyle w:val="Compact"/>
              <w:jc w:val="right"/>
            </w:pPr>
            <w:r>
              <w:t xml:space="preserve">34,177.31713</w:t>
            </w:r>
          </w:p>
        </w:tc>
        <w:tc>
          <w:tcPr/>
          <w:p>
            <w:pPr>
              <w:pStyle w:val="Compact"/>
              <w:jc w:val="right"/>
            </w:pPr>
            <w:r>
              <w:t xml:space="preserve">142,500.4684</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86,948.8608</w:t>
            </w:r>
          </w:p>
        </w:tc>
        <w:tc>
          <w:tcPr/>
          <w:p>
            <w:pPr>
              <w:pStyle w:val="Compact"/>
              <w:jc w:val="right"/>
            </w:pPr>
            <w:r>
              <w:t xml:space="preserve">44,430.51227</w:t>
            </w:r>
          </w:p>
        </w:tc>
        <w:tc>
          <w:tcPr/>
          <w:p>
            <w:pPr>
              <w:pStyle w:val="Compact"/>
              <w:jc w:val="right"/>
            </w:pPr>
            <w:r>
              <w:t xml:space="preserve">185,250.6089</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47,079.3851</w:t>
            </w:r>
          </w:p>
        </w:tc>
        <w:tc>
          <w:tcPr/>
          <w:p>
            <w:pPr>
              <w:pStyle w:val="Compact"/>
              <w:jc w:val="right"/>
            </w:pPr>
            <w:r>
              <w:t xml:space="preserve">24,057.37326</w:t>
            </w:r>
          </w:p>
        </w:tc>
        <w:tc>
          <w:tcPr/>
          <w:p>
            <w:pPr>
              <w:pStyle w:val="Compact"/>
              <w:jc w:val="right"/>
            </w:pPr>
            <w:r>
              <w:t xml:space="preserve">100,305.9118</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78,465.6419</w:t>
            </w:r>
          </w:p>
        </w:tc>
        <w:tc>
          <w:tcPr/>
          <w:p>
            <w:pPr>
              <w:pStyle w:val="Compact"/>
              <w:jc w:val="right"/>
            </w:pPr>
            <w:r>
              <w:t xml:space="preserve">40,095.62210</w:t>
            </w:r>
          </w:p>
        </w:tc>
        <w:tc>
          <w:tcPr/>
          <w:p>
            <w:pPr>
              <w:pStyle w:val="Compact"/>
              <w:jc w:val="right"/>
            </w:pPr>
            <w:r>
              <w:t xml:space="preserve">167,176.5196</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102,005.3345</w:t>
            </w:r>
          </w:p>
        </w:tc>
        <w:tc>
          <w:tcPr/>
          <w:p>
            <w:pPr>
              <w:pStyle w:val="Compact"/>
              <w:jc w:val="right"/>
            </w:pPr>
            <w:r>
              <w:t xml:space="preserve">52,124.30873</w:t>
            </w:r>
          </w:p>
        </w:tc>
        <w:tc>
          <w:tcPr/>
          <w:p>
            <w:pPr>
              <w:pStyle w:val="Compact"/>
              <w:jc w:val="right"/>
            </w:pPr>
            <w:r>
              <w:t xml:space="preserve">217,329.4755</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51,586.1748</w:t>
            </w:r>
          </w:p>
        </w:tc>
        <w:tc>
          <w:tcPr/>
          <w:p>
            <w:pPr>
              <w:pStyle w:val="Compact"/>
              <w:jc w:val="right"/>
            </w:pPr>
            <w:r>
              <w:t xml:space="preserve">26,360.32436</w:t>
            </w:r>
          </w:p>
        </w:tc>
        <w:tc>
          <w:tcPr/>
          <w:p>
            <w:pPr>
              <w:pStyle w:val="Compact"/>
              <w:jc w:val="right"/>
            </w:pPr>
            <w:r>
              <w:t xml:space="preserve">109,907.9414</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85,976.9580</w:t>
            </w:r>
          </w:p>
        </w:tc>
        <w:tc>
          <w:tcPr/>
          <w:p>
            <w:pPr>
              <w:pStyle w:val="Compact"/>
              <w:jc w:val="right"/>
            </w:pPr>
            <w:r>
              <w:t xml:space="preserve">43,933.87393</w:t>
            </w:r>
          </w:p>
        </w:tc>
        <w:tc>
          <w:tcPr/>
          <w:p>
            <w:pPr>
              <w:pStyle w:val="Compact"/>
              <w:jc w:val="right"/>
            </w:pPr>
            <w:r>
              <w:t xml:space="preserve">183,179.9023</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111,770.0455</w:t>
            </w:r>
          </w:p>
        </w:tc>
        <w:tc>
          <w:tcPr/>
          <w:p>
            <w:pPr>
              <w:pStyle w:val="Compact"/>
              <w:jc w:val="right"/>
            </w:pPr>
            <w:r>
              <w:t xml:space="preserve">57,114.03611</w:t>
            </w:r>
          </w:p>
        </w:tc>
        <w:tc>
          <w:tcPr/>
          <w:p>
            <w:pPr>
              <w:pStyle w:val="Compact"/>
              <w:jc w:val="right"/>
            </w:pPr>
            <w:r>
              <w:t xml:space="preserve">238,133.8729</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54,760.0544</w:t>
            </w:r>
          </w:p>
        </w:tc>
        <w:tc>
          <w:tcPr/>
          <w:p>
            <w:pPr>
              <w:pStyle w:val="Compact"/>
              <w:jc w:val="right"/>
            </w:pPr>
            <w:r>
              <w:t xml:space="preserve">27,982.16383</w:t>
            </w:r>
          </w:p>
        </w:tc>
        <w:tc>
          <w:tcPr/>
          <w:p>
            <w:pPr>
              <w:pStyle w:val="Compact"/>
              <w:jc w:val="right"/>
            </w:pPr>
            <w:r>
              <w:t xml:space="preserve">116,670.1130</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91,266.7573</w:t>
            </w:r>
          </w:p>
        </w:tc>
        <w:tc>
          <w:tcPr/>
          <w:p>
            <w:pPr>
              <w:pStyle w:val="Compact"/>
              <w:jc w:val="right"/>
            </w:pPr>
            <w:r>
              <w:t xml:space="preserve">46,636.93972</w:t>
            </w:r>
          </w:p>
        </w:tc>
        <w:tc>
          <w:tcPr/>
          <w:p>
            <w:pPr>
              <w:pStyle w:val="Compact"/>
              <w:jc w:val="right"/>
            </w:pPr>
            <w:r>
              <w:t xml:space="preserve">194,450.1883</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118,646.7845</w:t>
            </w:r>
          </w:p>
        </w:tc>
        <w:tc>
          <w:tcPr/>
          <w:p>
            <w:pPr>
              <w:pStyle w:val="Compact"/>
              <w:jc w:val="right"/>
            </w:pPr>
            <w:r>
              <w:t xml:space="preserve">60,628.02164</w:t>
            </w:r>
          </w:p>
        </w:tc>
        <w:tc>
          <w:tcPr/>
          <w:p>
            <w:pPr>
              <w:pStyle w:val="Compact"/>
              <w:jc w:val="right"/>
            </w:pPr>
            <w:r>
              <w:t xml:space="preserve">252,785.2448</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57,072.4533</w:t>
            </w:r>
          </w:p>
        </w:tc>
        <w:tc>
          <w:tcPr/>
          <w:p>
            <w:pPr>
              <w:pStyle w:val="Compact"/>
              <w:jc w:val="right"/>
            </w:pPr>
            <w:r>
              <w:t xml:space="preserve">29,163.79022</w:t>
            </w:r>
          </w:p>
        </w:tc>
        <w:tc>
          <w:tcPr/>
          <w:p>
            <w:pPr>
              <w:pStyle w:val="Compact"/>
              <w:jc w:val="right"/>
            </w:pPr>
            <w:r>
              <w:t xml:space="preserve">121,596.8401</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95,120.7555</w:t>
            </w:r>
          </w:p>
        </w:tc>
        <w:tc>
          <w:tcPr/>
          <w:p>
            <w:pPr>
              <w:pStyle w:val="Compact"/>
              <w:jc w:val="right"/>
            </w:pPr>
            <w:r>
              <w:t xml:space="preserve">48,606.31704</w:t>
            </w:r>
          </w:p>
        </w:tc>
        <w:tc>
          <w:tcPr/>
          <w:p>
            <w:pPr>
              <w:pStyle w:val="Compact"/>
              <w:jc w:val="right"/>
            </w:pPr>
            <w:r>
              <w:t xml:space="preserve">202,661.4002</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123,656.9822</w:t>
            </w:r>
          </w:p>
        </w:tc>
        <w:tc>
          <w:tcPr/>
          <w:p>
            <w:pPr>
              <w:pStyle w:val="Compact"/>
              <w:jc w:val="right"/>
            </w:pPr>
            <w:r>
              <w:t xml:space="preserve">63,188.21215</w:t>
            </w:r>
          </w:p>
        </w:tc>
        <w:tc>
          <w:tcPr/>
          <w:p>
            <w:pPr>
              <w:pStyle w:val="Compact"/>
              <w:jc w:val="right"/>
            </w:pPr>
            <w:r>
              <w:t xml:space="preserve">263,459.8202</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58,888.9297</w:t>
            </w:r>
          </w:p>
        </w:tc>
        <w:tc>
          <w:tcPr/>
          <w:p>
            <w:pPr>
              <w:pStyle w:val="Compact"/>
              <w:jc w:val="right"/>
            </w:pPr>
            <w:r>
              <w:t xml:space="preserve">30,092.00225</w:t>
            </w:r>
          </w:p>
        </w:tc>
        <w:tc>
          <w:tcPr/>
          <w:p>
            <w:pPr>
              <w:pStyle w:val="Compact"/>
              <w:jc w:val="right"/>
            </w:pPr>
            <w:r>
              <w:t xml:space="preserve">125,466.9698</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98,148.2162</w:t>
            </w:r>
          </w:p>
        </w:tc>
        <w:tc>
          <w:tcPr/>
          <w:p>
            <w:pPr>
              <w:pStyle w:val="Compact"/>
              <w:jc w:val="right"/>
            </w:pPr>
            <w:r>
              <w:t xml:space="preserve">50,153.33709</w:t>
            </w:r>
          </w:p>
        </w:tc>
        <w:tc>
          <w:tcPr/>
          <w:p>
            <w:pPr>
              <w:pStyle w:val="Compact"/>
              <w:jc w:val="right"/>
            </w:pPr>
            <w:r>
              <w:t xml:space="preserve">209,111.6163</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127,592.6811</w:t>
            </w:r>
          </w:p>
        </w:tc>
        <w:tc>
          <w:tcPr/>
          <w:p>
            <w:pPr>
              <w:pStyle w:val="Compact"/>
              <w:jc w:val="right"/>
            </w:pPr>
            <w:r>
              <w:t xml:space="preserve">65,199.33822</w:t>
            </w:r>
          </w:p>
        </w:tc>
        <w:tc>
          <w:tcPr/>
          <w:p>
            <w:pPr>
              <w:pStyle w:val="Compact"/>
              <w:jc w:val="right"/>
            </w:pPr>
            <w:r>
              <w:t xml:space="preserve">271,845.1012</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60,323.4737</w:t>
            </w:r>
          </w:p>
        </w:tc>
        <w:tc>
          <w:tcPr/>
          <w:p>
            <w:pPr>
              <w:pStyle w:val="Compact"/>
              <w:jc w:val="right"/>
            </w:pPr>
            <w:r>
              <w:t xml:space="preserve">30,825.04833</w:t>
            </w:r>
          </w:p>
        </w:tc>
        <w:tc>
          <w:tcPr/>
          <w:p>
            <w:pPr>
              <w:pStyle w:val="Compact"/>
              <w:jc w:val="right"/>
            </w:pPr>
            <w:r>
              <w:t xml:space="preserve">128,523.3656</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100,539.1228</w:t>
            </w:r>
          </w:p>
        </w:tc>
        <w:tc>
          <w:tcPr/>
          <w:p>
            <w:pPr>
              <w:pStyle w:val="Compact"/>
              <w:jc w:val="right"/>
            </w:pPr>
            <w:r>
              <w:t xml:space="preserve">51,375.08055</w:t>
            </w:r>
          </w:p>
        </w:tc>
        <w:tc>
          <w:tcPr/>
          <w:p>
            <w:pPr>
              <w:pStyle w:val="Compact"/>
              <w:jc w:val="right"/>
            </w:pPr>
            <w:r>
              <w:t xml:space="preserve">214,205.6093</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130,700.8596</w:t>
            </w:r>
          </w:p>
        </w:tc>
        <w:tc>
          <w:tcPr/>
          <w:p>
            <w:pPr>
              <w:pStyle w:val="Compact"/>
              <w:jc w:val="right"/>
            </w:pPr>
            <w:r>
              <w:t xml:space="preserve">66,787.60471</w:t>
            </w:r>
          </w:p>
        </w:tc>
        <w:tc>
          <w:tcPr/>
          <w:p>
            <w:pPr>
              <w:pStyle w:val="Compact"/>
              <w:jc w:val="right"/>
            </w:pPr>
            <w:r>
              <w:t xml:space="preserve">278,467.2921</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61,445.1072</w:t>
            </w:r>
          </w:p>
        </w:tc>
        <w:tc>
          <w:tcPr/>
          <w:p>
            <w:pPr>
              <w:pStyle w:val="Compact"/>
              <w:jc w:val="right"/>
            </w:pPr>
            <w:r>
              <w:t xml:space="preserve">31,398.19849</w:t>
            </w:r>
          </w:p>
        </w:tc>
        <w:tc>
          <w:tcPr/>
          <w:p>
            <w:pPr>
              <w:pStyle w:val="Compact"/>
              <w:jc w:val="right"/>
            </w:pPr>
            <w:r>
              <w:t xml:space="preserve">130,913.0840</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102,408.5120</w:t>
            </w:r>
          </w:p>
        </w:tc>
        <w:tc>
          <w:tcPr/>
          <w:p>
            <w:pPr>
              <w:pStyle w:val="Compact"/>
              <w:jc w:val="right"/>
            </w:pPr>
            <w:r>
              <w:t xml:space="preserve">52,330.33081</w:t>
            </w:r>
          </w:p>
        </w:tc>
        <w:tc>
          <w:tcPr/>
          <w:p>
            <w:pPr>
              <w:pStyle w:val="Compact"/>
              <w:jc w:val="right"/>
            </w:pPr>
            <w:r>
              <w:t xml:space="preserve">218,188.4734</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133,131.0656</w:t>
            </w:r>
          </w:p>
        </w:tc>
        <w:tc>
          <w:tcPr/>
          <w:p>
            <w:pPr>
              <w:pStyle w:val="Compact"/>
              <w:jc w:val="right"/>
            </w:pPr>
            <w:r>
              <w:t xml:space="preserve">68,029.43006</w:t>
            </w:r>
          </w:p>
        </w:tc>
        <w:tc>
          <w:tcPr/>
          <w:p>
            <w:pPr>
              <w:pStyle w:val="Compact"/>
              <w:jc w:val="right"/>
            </w:pPr>
            <w:r>
              <w:t xml:space="preserve">283,645.0154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169.9269</w:t>
            </w:r>
          </w:p>
        </w:tc>
        <w:tc>
          <w:tcPr/>
          <w:p>
            <w:pPr>
              <w:pStyle w:val="Compact"/>
              <w:jc w:val="right"/>
            </w:pPr>
            <w:r>
              <w:t xml:space="preserve">72.73553</w:t>
            </w:r>
          </w:p>
        </w:tc>
        <w:tc>
          <w:tcPr/>
          <w:p>
            <w:pPr>
              <w:pStyle w:val="Compact"/>
              <w:jc w:val="right"/>
            </w:pPr>
            <w:r>
              <w:t xml:space="preserve">420.8155</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283.2116</w:t>
            </w:r>
          </w:p>
        </w:tc>
        <w:tc>
          <w:tcPr/>
          <w:p>
            <w:pPr>
              <w:pStyle w:val="Compact"/>
              <w:jc w:val="right"/>
            </w:pPr>
            <w:r>
              <w:t xml:space="preserve">121.22589</w:t>
            </w:r>
          </w:p>
        </w:tc>
        <w:tc>
          <w:tcPr/>
          <w:p>
            <w:pPr>
              <w:pStyle w:val="Compact"/>
              <w:jc w:val="right"/>
            </w:pPr>
            <w:r>
              <w:t xml:space="preserve">701.3592</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368.1750</w:t>
            </w:r>
          </w:p>
        </w:tc>
        <w:tc>
          <w:tcPr/>
          <w:p>
            <w:pPr>
              <w:pStyle w:val="Compact"/>
              <w:jc w:val="right"/>
            </w:pPr>
            <w:r>
              <w:t xml:space="preserve">157.59365</w:t>
            </w:r>
          </w:p>
        </w:tc>
        <w:tc>
          <w:tcPr/>
          <w:p>
            <w:pPr>
              <w:pStyle w:val="Compact"/>
              <w:jc w:val="right"/>
            </w:pPr>
            <w:r>
              <w:t xml:space="preserve">911.7669</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246.5147</w:t>
            </w:r>
          </w:p>
        </w:tc>
        <w:tc>
          <w:tcPr/>
          <w:p>
            <w:pPr>
              <w:pStyle w:val="Compact"/>
              <w:jc w:val="right"/>
            </w:pPr>
            <w:r>
              <w:t xml:space="preserve">105.51816</w:t>
            </w:r>
          </w:p>
        </w:tc>
        <w:tc>
          <w:tcPr/>
          <w:p>
            <w:pPr>
              <w:pStyle w:val="Compact"/>
              <w:jc w:val="right"/>
            </w:pPr>
            <w:r>
              <w:t xml:space="preserve">610.4812</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410.8578</w:t>
            </w:r>
          </w:p>
        </w:tc>
        <w:tc>
          <w:tcPr/>
          <w:p>
            <w:pPr>
              <w:pStyle w:val="Compact"/>
              <w:jc w:val="right"/>
            </w:pPr>
            <w:r>
              <w:t xml:space="preserve">175.86360</w:t>
            </w:r>
          </w:p>
        </w:tc>
        <w:tc>
          <w:tcPr/>
          <w:p>
            <w:pPr>
              <w:pStyle w:val="Compact"/>
              <w:jc w:val="right"/>
            </w:pPr>
            <w:r>
              <w:t xml:space="preserve">1,017.4687</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534.1152</w:t>
            </w:r>
          </w:p>
        </w:tc>
        <w:tc>
          <w:tcPr/>
          <w:p>
            <w:pPr>
              <w:pStyle w:val="Compact"/>
              <w:jc w:val="right"/>
            </w:pPr>
            <w:r>
              <w:t xml:space="preserve">228.62268</w:t>
            </w:r>
          </w:p>
        </w:tc>
        <w:tc>
          <w:tcPr/>
          <w:p>
            <w:pPr>
              <w:pStyle w:val="Compact"/>
              <w:jc w:val="right"/>
            </w:pPr>
            <w:r>
              <w:t xml:space="preserve">1,322.7093</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289.2023</w:t>
            </w:r>
          </w:p>
        </w:tc>
        <w:tc>
          <w:tcPr/>
          <w:p>
            <w:pPr>
              <w:pStyle w:val="Compact"/>
              <w:jc w:val="right"/>
            </w:pPr>
            <w:r>
              <w:t xml:space="preserve">123.79018</w:t>
            </w:r>
          </w:p>
        </w:tc>
        <w:tc>
          <w:tcPr/>
          <w:p>
            <w:pPr>
              <w:pStyle w:val="Compact"/>
              <w:jc w:val="right"/>
            </w:pPr>
            <w:r>
              <w:t xml:space="preserve">716.1950</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482.0039</w:t>
            </w:r>
          </w:p>
        </w:tc>
        <w:tc>
          <w:tcPr/>
          <w:p>
            <w:pPr>
              <w:pStyle w:val="Compact"/>
              <w:jc w:val="right"/>
            </w:pPr>
            <w:r>
              <w:t xml:space="preserve">206.31697</w:t>
            </w:r>
          </w:p>
        </w:tc>
        <w:tc>
          <w:tcPr/>
          <w:p>
            <w:pPr>
              <w:pStyle w:val="Compact"/>
              <w:jc w:val="right"/>
            </w:pPr>
            <w:r>
              <w:t xml:space="preserve">1,193.6584</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626.6051</w:t>
            </w:r>
          </w:p>
        </w:tc>
        <w:tc>
          <w:tcPr/>
          <w:p>
            <w:pPr>
              <w:pStyle w:val="Compact"/>
              <w:jc w:val="right"/>
            </w:pPr>
            <w:r>
              <w:t xml:space="preserve">268.21206</w:t>
            </w:r>
          </w:p>
        </w:tc>
        <w:tc>
          <w:tcPr/>
          <w:p>
            <w:pPr>
              <w:pStyle w:val="Compact"/>
              <w:jc w:val="right"/>
            </w:pPr>
            <w:r>
              <w:t xml:space="preserve">1,551.7559</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316.8869</w:t>
            </w:r>
          </w:p>
        </w:tc>
        <w:tc>
          <w:tcPr/>
          <w:p>
            <w:pPr>
              <w:pStyle w:val="Compact"/>
              <w:jc w:val="right"/>
            </w:pPr>
            <w:r>
              <w:t xml:space="preserve">135.64030</w:t>
            </w:r>
          </w:p>
        </w:tc>
        <w:tc>
          <w:tcPr/>
          <w:p>
            <w:pPr>
              <w:pStyle w:val="Compact"/>
              <w:jc w:val="right"/>
            </w:pPr>
            <w:r>
              <w:t xml:space="preserve">784.7546</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528.1449</w:t>
            </w:r>
          </w:p>
        </w:tc>
        <w:tc>
          <w:tcPr/>
          <w:p>
            <w:pPr>
              <w:pStyle w:val="Compact"/>
              <w:jc w:val="right"/>
            </w:pPr>
            <w:r>
              <w:t xml:space="preserve">226.06717</w:t>
            </w:r>
          </w:p>
        </w:tc>
        <w:tc>
          <w:tcPr/>
          <w:p>
            <w:pPr>
              <w:pStyle w:val="Compact"/>
              <w:jc w:val="right"/>
            </w:pPr>
            <w:r>
              <w:t xml:space="preserve">1,307.9243</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686.5884</w:t>
            </w:r>
          </w:p>
        </w:tc>
        <w:tc>
          <w:tcPr/>
          <w:p>
            <w:pPr>
              <w:pStyle w:val="Compact"/>
              <w:jc w:val="right"/>
            </w:pPr>
            <w:r>
              <w:t xml:space="preserve">293.88732</w:t>
            </w:r>
          </w:p>
        </w:tc>
        <w:tc>
          <w:tcPr/>
          <w:p>
            <w:pPr>
              <w:pStyle w:val="Compact"/>
              <w:jc w:val="right"/>
            </w:pPr>
            <w:r>
              <w:t xml:space="preserve">1,700.3015</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336.3837</w:t>
            </w:r>
          </w:p>
        </w:tc>
        <w:tc>
          <w:tcPr/>
          <w:p>
            <w:pPr>
              <w:pStyle w:val="Compact"/>
              <w:jc w:val="right"/>
            </w:pPr>
            <w:r>
              <w:t xml:space="preserve">143.98568</w:t>
            </w:r>
          </w:p>
        </w:tc>
        <w:tc>
          <w:tcPr/>
          <w:p>
            <w:pPr>
              <w:pStyle w:val="Compact"/>
              <w:jc w:val="right"/>
            </w:pPr>
            <w:r>
              <w:t xml:space="preserve">833.0372</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560.6394</w:t>
            </w:r>
          </w:p>
        </w:tc>
        <w:tc>
          <w:tcPr/>
          <w:p>
            <w:pPr>
              <w:pStyle w:val="Compact"/>
              <w:jc w:val="right"/>
            </w:pPr>
            <w:r>
              <w:t xml:space="preserve">239.97613</w:t>
            </w:r>
          </w:p>
        </w:tc>
        <w:tc>
          <w:tcPr/>
          <w:p>
            <w:pPr>
              <w:pStyle w:val="Compact"/>
              <w:jc w:val="right"/>
            </w:pPr>
            <w:r>
              <w:t xml:space="preserve">1,388.3953</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728.8313</w:t>
            </w:r>
          </w:p>
        </w:tc>
        <w:tc>
          <w:tcPr/>
          <w:p>
            <w:pPr>
              <w:pStyle w:val="Compact"/>
              <w:jc w:val="right"/>
            </w:pPr>
            <w:r>
              <w:t xml:space="preserve">311.96896</w:t>
            </w:r>
          </w:p>
        </w:tc>
        <w:tc>
          <w:tcPr/>
          <w:p>
            <w:pPr>
              <w:pStyle w:val="Compact"/>
              <w:jc w:val="right"/>
            </w:pPr>
            <w:r>
              <w:t xml:space="preserve">1,804.9139</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350.5884</w:t>
            </w:r>
          </w:p>
        </w:tc>
        <w:tc>
          <w:tcPr/>
          <w:p>
            <w:pPr>
              <w:pStyle w:val="Compact"/>
              <w:jc w:val="right"/>
            </w:pPr>
            <w:r>
              <w:t xml:space="preserve">150.06588</w:t>
            </w:r>
          </w:p>
        </w:tc>
        <w:tc>
          <w:tcPr/>
          <w:p>
            <w:pPr>
              <w:pStyle w:val="Compact"/>
              <w:jc w:val="right"/>
            </w:pPr>
            <w:r>
              <w:t xml:space="preserve">868.2146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584.3140</w:t>
            </w:r>
          </w:p>
        </w:tc>
        <w:tc>
          <w:tcPr/>
          <w:p>
            <w:pPr>
              <w:pStyle w:val="Compact"/>
              <w:jc w:val="right"/>
            </w:pPr>
            <w:r>
              <w:t xml:space="preserve">250.10980</w:t>
            </w:r>
          </w:p>
        </w:tc>
        <w:tc>
          <w:tcPr/>
          <w:p>
            <w:pPr>
              <w:pStyle w:val="Compact"/>
              <w:jc w:val="right"/>
            </w:pPr>
            <w:r>
              <w:t xml:space="preserve">1,447.0243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759.6082</w:t>
            </w:r>
          </w:p>
        </w:tc>
        <w:tc>
          <w:tcPr/>
          <w:p>
            <w:pPr>
              <w:pStyle w:val="Compact"/>
              <w:jc w:val="right"/>
            </w:pPr>
            <w:r>
              <w:t xml:space="preserve">325.14274</w:t>
            </w:r>
          </w:p>
        </w:tc>
        <w:tc>
          <w:tcPr/>
          <w:p>
            <w:pPr>
              <w:pStyle w:val="Compact"/>
              <w:jc w:val="right"/>
            </w:pPr>
            <w:r>
              <w:t xml:space="preserve">1,881.1315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361.7468</w:t>
            </w:r>
          </w:p>
        </w:tc>
        <w:tc>
          <w:tcPr/>
          <w:p>
            <w:pPr>
              <w:pStyle w:val="Compact"/>
              <w:jc w:val="right"/>
            </w:pPr>
            <w:r>
              <w:t xml:space="preserve">154.84211</w:t>
            </w:r>
          </w:p>
        </w:tc>
        <w:tc>
          <w:tcPr/>
          <w:p>
            <w:pPr>
              <w:pStyle w:val="Compact"/>
              <w:jc w:val="right"/>
            </w:pPr>
            <w:r>
              <w:t xml:space="preserve">895.8477</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602.9113</w:t>
            </w:r>
          </w:p>
        </w:tc>
        <w:tc>
          <w:tcPr/>
          <w:p>
            <w:pPr>
              <w:pStyle w:val="Compact"/>
              <w:jc w:val="right"/>
            </w:pPr>
            <w:r>
              <w:t xml:space="preserve">258.07018</w:t>
            </w:r>
          </w:p>
        </w:tc>
        <w:tc>
          <w:tcPr/>
          <w:p>
            <w:pPr>
              <w:pStyle w:val="Compact"/>
              <w:jc w:val="right"/>
            </w:pPr>
            <w:r>
              <w:t xml:space="preserve">1,493.0795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783.7847</w:t>
            </w:r>
          </w:p>
        </w:tc>
        <w:tc>
          <w:tcPr/>
          <w:p>
            <w:pPr>
              <w:pStyle w:val="Compact"/>
              <w:jc w:val="right"/>
            </w:pPr>
            <w:r>
              <w:t xml:space="preserve">335.49124</w:t>
            </w:r>
          </w:p>
        </w:tc>
        <w:tc>
          <w:tcPr/>
          <w:p>
            <w:pPr>
              <w:pStyle w:val="Compact"/>
              <w:jc w:val="right"/>
            </w:pPr>
            <w:r>
              <w:t xml:space="preserve">1,941.0033</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370.5590</w:t>
            </w:r>
          </w:p>
        </w:tc>
        <w:tc>
          <w:tcPr/>
          <w:p>
            <w:pPr>
              <w:pStyle w:val="Compact"/>
              <w:jc w:val="right"/>
            </w:pPr>
            <w:r>
              <w:t xml:space="preserve">158.61409</w:t>
            </w:r>
          </w:p>
        </w:tc>
        <w:tc>
          <w:tcPr/>
          <w:p>
            <w:pPr>
              <w:pStyle w:val="Compact"/>
              <w:jc w:val="right"/>
            </w:pPr>
            <w:r>
              <w:t xml:space="preserve">917.6707</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617.5983</w:t>
            </w:r>
          </w:p>
        </w:tc>
        <w:tc>
          <w:tcPr/>
          <w:p>
            <w:pPr>
              <w:pStyle w:val="Compact"/>
              <w:jc w:val="right"/>
            </w:pPr>
            <w:r>
              <w:t xml:space="preserve">264.35681</w:t>
            </w:r>
          </w:p>
        </w:tc>
        <w:tc>
          <w:tcPr/>
          <w:p>
            <w:pPr>
              <w:pStyle w:val="Compact"/>
              <w:jc w:val="right"/>
            </w:pPr>
            <w:r>
              <w:t xml:space="preserve">1,529.4512</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802.8778</w:t>
            </w:r>
          </w:p>
        </w:tc>
        <w:tc>
          <w:tcPr/>
          <w:p>
            <w:pPr>
              <w:pStyle w:val="Compact"/>
              <w:jc w:val="right"/>
            </w:pPr>
            <w:r>
              <w:t xml:space="preserve">343.66386</w:t>
            </w:r>
          </w:p>
        </w:tc>
        <w:tc>
          <w:tcPr/>
          <w:p>
            <w:pPr>
              <w:pStyle w:val="Compact"/>
              <w:jc w:val="right"/>
            </w:pPr>
            <w:r>
              <w:t xml:space="preserve">1,988.2865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377.4490</w:t>
            </w:r>
          </w:p>
        </w:tc>
        <w:tc>
          <w:tcPr/>
          <w:p>
            <w:pPr>
              <w:pStyle w:val="Compact"/>
              <w:jc w:val="right"/>
            </w:pPr>
            <w:r>
              <w:t xml:space="preserve">161.56330</w:t>
            </w:r>
          </w:p>
        </w:tc>
        <w:tc>
          <w:tcPr/>
          <w:p>
            <w:pPr>
              <w:pStyle w:val="Compact"/>
              <w:jc w:val="right"/>
            </w:pPr>
            <w:r>
              <w:t xml:space="preserve">934.7335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629.0817</w:t>
            </w:r>
          </w:p>
        </w:tc>
        <w:tc>
          <w:tcPr/>
          <w:p>
            <w:pPr>
              <w:pStyle w:val="Compact"/>
              <w:jc w:val="right"/>
            </w:pPr>
            <w:r>
              <w:t xml:space="preserve">269.27217</w:t>
            </w:r>
          </w:p>
        </w:tc>
        <w:tc>
          <w:tcPr/>
          <w:p>
            <w:pPr>
              <w:pStyle w:val="Compact"/>
              <w:jc w:val="right"/>
            </w:pPr>
            <w:r>
              <w:t xml:space="preserve">1,557.8892</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817.8062</w:t>
            </w:r>
          </w:p>
        </w:tc>
        <w:tc>
          <w:tcPr/>
          <w:p>
            <w:pPr>
              <w:pStyle w:val="Compact"/>
              <w:jc w:val="right"/>
            </w:pPr>
            <w:r>
              <w:t xml:space="preserve">350.05382</w:t>
            </w:r>
          </w:p>
        </w:tc>
        <w:tc>
          <w:tcPr/>
          <w:p>
            <w:pPr>
              <w:pStyle w:val="Compact"/>
              <w:jc w:val="right"/>
            </w:pPr>
            <w:r>
              <w:t xml:space="preserve">2,025.2560</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3"/>
    <w:bookmarkStart w:id="111"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10" w:name="colophon"/>
    <w:p>
      <w:pPr>
        <w:pStyle w:val="Heading3"/>
      </w:pPr>
      <w:r>
        <w:t xml:space="preserve">Colophon</w:t>
      </w:r>
    </w:p>
    <w:p>
      <w:pPr>
        <w:pStyle w:val="FirstParagraph"/>
      </w:pPr>
      <w:r>
        <w:t xml:space="preserve">This report was generated on 2022-01-31 16:55:32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2022-01-31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[120ddb2] 2022-01-31: fixed some table captions</w:t>
      </w:r>
    </w:p>
    <w:bookmarkEnd w:id="110"/>
    <w:bookmarkEnd w:id="11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2022-01-31T23:55:35Z</dcterms:created>
  <dcterms:modified xsi:type="dcterms:W3CDTF">2022-01-31T23:55:35Z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31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